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Blackadder ITC" w:hAnsi="Blackadder ITC" w:cs="Calibri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</w:t>
      </w:r>
      <w:r>
        <w:rPr>
          <w:rFonts w:ascii="Blackadder ITC" w:hAnsi="Blackadder ITC" w:cs="Calibri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</w:t>
      </w:r>
      <w:r>
        <w:rPr>
          <w:rFonts w:ascii="Blackadder ITC" w:hAnsi="Blackadder ITC" w:cs="Calibri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мерах</w:t>
      </w:r>
      <w:r>
        <w:rPr>
          <w:rFonts w:ascii="Blackadder ITC" w:hAnsi="Blackadder ITC" w:cs="Calibri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ответственности</w:t>
      </w:r>
      <w:r>
        <w:rPr>
          <w:rFonts w:ascii="Blackadder ITC" w:hAnsi="Blackadder ITC" w:cs="Calibri"/>
          <w:b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применяемых</w:t>
      </w:r>
      <w:r>
        <w:rPr>
          <w:rFonts w:ascii="Blackadder ITC" w:hAnsi="Blackadder ITC" w:cs="Calibri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</w:t>
      </w:r>
      <w:r>
        <w:rPr>
          <w:rFonts w:ascii="Blackadder ITC" w:hAnsi="Blackadder ITC" w:cs="Calibri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нарушении</w:t>
      </w:r>
      <w:r>
        <w:rPr>
          <w:rFonts w:ascii="Blackadder ITC" w:hAnsi="Blackadder ITC" w:cs="Calibri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обязательных</w:t>
      </w:r>
      <w:r>
        <w:rPr>
          <w:rFonts w:ascii="Blackadder ITC" w:hAnsi="Blackadder ITC" w:cs="Calibri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требований</w:t>
      </w:r>
      <w:r>
        <w:rPr>
          <w:rFonts w:ascii="Blackadder ITC" w:hAnsi="Blackadder ITC" w:cs="Calibri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</w:r>
    </w:p>
    <w:p>
      <w:pPr>
        <w:jc w:val="both"/>
        <w:spacing w:after="0" w:line="24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Административная ответственность,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предусмотре</w:t>
      </w:r>
      <w:r>
        <w:rPr>
          <w:rFonts w:ascii="Times New Roman" w:hAnsi="Times New Roman" w:cs="Times New Roman"/>
          <w:bCs/>
          <w:sz w:val="28"/>
          <w:szCs w:val="28"/>
        </w:rPr>
        <w:t xml:space="preserve">н</w:t>
      </w:r>
      <w:r>
        <w:rPr>
          <w:rFonts w:ascii="Times New Roman" w:hAnsi="Times New Roman" w:cs="Times New Roman"/>
          <w:bCs/>
          <w:sz w:val="28"/>
          <w:szCs w:val="28"/>
        </w:rPr>
        <w:t xml:space="preserve">на</w:t>
      </w:r>
      <w:r>
        <w:rPr>
          <w:rFonts w:ascii="Times New Roman" w:hAnsi="Times New Roman" w:cs="Times New Roman"/>
          <w:bCs/>
          <w:sz w:val="28"/>
          <w:szCs w:val="28"/>
        </w:rPr>
        <w:t xml:space="preserve">я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Кодексом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об ад</w:t>
      </w:r>
      <w:r>
        <w:rPr>
          <w:rFonts w:ascii="Times New Roman" w:hAnsi="Times New Roman" w:cs="Times New Roman"/>
          <w:bCs/>
          <w:sz w:val="28"/>
          <w:szCs w:val="28"/>
        </w:rPr>
        <w:t xml:space="preserve">министративных правонарушениях:</w:t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Cs/>
          <w:sz w:val="28"/>
          <w:szCs w:val="28"/>
        </w:rPr>
        <w:t xml:space="preserve">7.21-</w:t>
      </w:r>
      <w:hyperlink r:id="rId9" w:tooltip="consultantplus://offline/ref=9AC167B0D1257E1472BCAC09EF1E2C32D2E0C228F304E6012E5CAE1FFBE61CD1AACD40456FFF67B134AF47D9EC17C458AFE6ADF52F24F6FFG7t5M" w:history="1">
        <w:r>
          <w:rPr>
            <w:rFonts w:ascii="Times New Roman" w:hAnsi="Times New Roman" w:cs="Times New Roman"/>
            <w:bCs/>
            <w:sz w:val="28"/>
            <w:szCs w:val="28"/>
          </w:rPr>
          <w:t xml:space="preserve">7.23 КоАП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часть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1 статьи 7.23.2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КоАП</w:t>
      </w:r>
      <w:r>
        <w:rPr>
          <w:rFonts w:ascii="Times New Roman" w:hAnsi="Times New Roman" w:cs="Times New Roman"/>
          <w:bCs/>
          <w:sz w:val="28"/>
          <w:szCs w:val="28"/>
        </w:rPr>
        <w:t xml:space="preserve">,</w:t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стать</w:t>
      </w:r>
      <w:r>
        <w:rPr>
          <w:rFonts w:ascii="Times New Roman" w:hAnsi="Times New Roman" w:cs="Times New Roman"/>
          <w:bCs/>
          <w:sz w:val="28"/>
          <w:szCs w:val="28"/>
        </w:rPr>
        <w:t xml:space="preserve">и</w:t>
      </w:r>
      <w:r>
        <w:rPr>
          <w:rFonts w:ascii="Times New Roman" w:hAnsi="Times New Roman" w:cs="Times New Roman"/>
          <w:bCs/>
          <w:sz w:val="28"/>
          <w:szCs w:val="28"/>
        </w:rPr>
        <w:t xml:space="preserve"> 7.23.3, 9.5.1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КоАП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/>
      <w:hyperlink r:id="rId10" w:tooltip="consultantplus://offline/ref=9AC167B0D1257E1472BCAC09EF1E2C32D2E0C228F304E6012E5CAE1FFBE61CD1AACD404C68FC60BF69F557DDA542C846AEFAB3F53124GFt4M" w:history="1">
        <w:r>
          <w:rPr>
            <w:rFonts w:ascii="Times New Roman" w:hAnsi="Times New Roman" w:cs="Times New Roman"/>
            <w:bCs/>
            <w:sz w:val="28"/>
            <w:szCs w:val="28"/>
          </w:rPr>
          <w:t xml:space="preserve">стать</w:t>
        </w:r>
        <w:r>
          <w:rPr>
            <w:rFonts w:ascii="Times New Roman" w:hAnsi="Times New Roman" w:cs="Times New Roman"/>
            <w:bCs/>
            <w:sz w:val="28"/>
            <w:szCs w:val="28"/>
          </w:rPr>
          <w:t xml:space="preserve">я</w:t>
        </w:r>
        <w:r>
          <w:rPr>
            <w:rFonts w:ascii="Times New Roman" w:hAnsi="Times New Roman" w:cs="Times New Roman"/>
            <w:bCs/>
            <w:sz w:val="28"/>
            <w:szCs w:val="28"/>
          </w:rPr>
          <w:t xml:space="preserve"> 9.13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(в части уклонения от исполнения требований к обеспечению доступности для инвалидов объектов жилищного фонда)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КоАП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част</w:t>
      </w:r>
      <w:r>
        <w:rPr>
          <w:rFonts w:ascii="Times New Roman" w:hAnsi="Times New Roman" w:cs="Times New Roman"/>
          <w:bCs/>
          <w:sz w:val="28"/>
          <w:szCs w:val="28"/>
        </w:rPr>
        <w:t xml:space="preserve">и</w:t>
      </w:r>
      <w:r>
        <w:rPr>
          <w:rFonts w:ascii="Times New Roman" w:hAnsi="Times New Roman" w:cs="Times New Roman"/>
          <w:bCs/>
          <w:sz w:val="28"/>
          <w:szCs w:val="28"/>
        </w:rPr>
        <w:t xml:space="preserve"> 4, </w:t>
      </w:r>
      <w:hyperlink r:id="rId11" w:tooltip="consultantplus://offline/ref=9AC167B0D1257E1472BCAC09EF1E2C32D2E0C228F304E6012E5CAE1FFBE61CD1AACD40466FFE61BF69F557DDA542C846AEFAB3F53124GFt4M" w:history="1">
        <w:r>
          <w:rPr>
            <w:rFonts w:ascii="Times New Roman" w:hAnsi="Times New Roman" w:cs="Times New Roman"/>
            <w:bCs/>
            <w:sz w:val="28"/>
            <w:szCs w:val="28"/>
          </w:rPr>
          <w:t xml:space="preserve">5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и част</w:t>
      </w:r>
      <w:r>
        <w:rPr>
          <w:rFonts w:ascii="Times New Roman" w:hAnsi="Times New Roman" w:cs="Times New Roman"/>
          <w:bCs/>
          <w:sz w:val="28"/>
          <w:szCs w:val="28"/>
        </w:rPr>
        <w:t xml:space="preserve">и</w:t>
      </w:r>
      <w:r>
        <w:rPr>
          <w:rFonts w:ascii="Times New Roman" w:hAnsi="Times New Roman" w:cs="Times New Roman"/>
          <w:bCs/>
          <w:sz w:val="28"/>
          <w:szCs w:val="28"/>
        </w:rPr>
        <w:t xml:space="preserve"> 12 (в части коллективных (общедомовых), индивидуальных и общих (для коммунальных квартир) приборов учета используемых энергетических ресурсов в многоквартирных домах, жилых домах) статьи 9.16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КоАП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част</w:t>
      </w:r>
      <w:r>
        <w:rPr>
          <w:rFonts w:ascii="Times New Roman" w:hAnsi="Times New Roman" w:cs="Times New Roman"/>
          <w:bCs/>
          <w:sz w:val="28"/>
          <w:szCs w:val="28"/>
        </w:rPr>
        <w:t xml:space="preserve">и</w:t>
      </w:r>
      <w:r>
        <w:rPr>
          <w:rFonts w:ascii="Times New Roman" w:hAnsi="Times New Roman" w:cs="Times New Roman"/>
          <w:bCs/>
          <w:sz w:val="28"/>
          <w:szCs w:val="28"/>
        </w:rPr>
        <w:t xml:space="preserve"> 1-</w:t>
      </w:r>
      <w:hyperlink r:id="rId12" w:tooltip="consultantplus://offline/ref=9AC167B0D1257E1472BCAC09EF1E2C32D2E0C228F304E6012E5CAE1FFBE61CD1AACD40436BF86BBF69F557DDA542C846AEFAB3F53124GFt4M" w:history="1">
        <w:r>
          <w:rPr>
            <w:rFonts w:ascii="Times New Roman" w:hAnsi="Times New Roman" w:cs="Times New Roman"/>
            <w:bCs/>
            <w:sz w:val="28"/>
            <w:szCs w:val="28"/>
          </w:rPr>
          <w:t xml:space="preserve">4 статьи 9.23</w:t>
        </w:r>
      </w:hyperlink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  <w:t xml:space="preserve"> КоАП</w:t>
      </w:r>
      <w:r>
        <w:rPr>
          <w:rFonts w:ascii="Times New Roman" w:hAnsi="Times New Roman" w:cs="Times New Roman"/>
          <w:bCs/>
          <w:sz w:val="28"/>
          <w:szCs w:val="28"/>
        </w:rPr>
        <w:t xml:space="preserve">,</w:t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часть 1 статьи 13.19.2 </w:t>
      </w:r>
      <w:r>
        <w:rPr>
          <w:rFonts w:ascii="Times New Roman" w:hAnsi="Times New Roman" w:cs="Times New Roman"/>
          <w:bCs/>
          <w:sz w:val="28"/>
          <w:szCs w:val="28"/>
        </w:rPr>
        <w:t xml:space="preserve">(за исключением административных правонарушений, совершенных жилищно-строительными кооперативами, осуществляющими строительство многоквартирных домов)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КоАП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  <w:t xml:space="preserve">,</w:t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часть 1 статьи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19.4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КоАП</w:t>
      </w:r>
      <w:r>
        <w:rPr>
          <w:rFonts w:ascii="Times New Roman" w:hAnsi="Times New Roman" w:cs="Times New Roman"/>
          <w:bCs/>
          <w:sz w:val="28"/>
          <w:szCs w:val="28"/>
        </w:rPr>
        <w:t xml:space="preserve">,</w:t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статья 19.4.1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КоАП</w:t>
      </w:r>
      <w:r>
        <w:rPr>
          <w:rFonts w:ascii="Times New Roman" w:hAnsi="Times New Roman" w:cs="Times New Roman"/>
          <w:bCs/>
          <w:sz w:val="28"/>
          <w:szCs w:val="28"/>
        </w:rPr>
        <w:t xml:space="preserve">,</w:t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часть 1 статьи 19.5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КоАП</w:t>
      </w:r>
      <w:r>
        <w:rPr>
          <w:rFonts w:ascii="Times New Roman" w:hAnsi="Times New Roman" w:cs="Times New Roman"/>
          <w:bCs/>
          <w:sz w:val="28"/>
          <w:szCs w:val="28"/>
        </w:rPr>
        <w:t xml:space="preserve">,</w:t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статья 19.7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КоАП</w:t>
      </w:r>
      <w:r>
        <w:rPr>
          <w:rFonts w:ascii="Times New Roman" w:hAnsi="Times New Roman" w:cs="Times New Roman"/>
          <w:bCs/>
          <w:sz w:val="28"/>
          <w:szCs w:val="28"/>
        </w:rPr>
        <w:t xml:space="preserve">.</w:t>
      </w:r>
      <w:bookmarkStart w:id="0" w:name="_GoBack"/>
      <w:r/>
      <w:bookmarkEnd w:id="0"/>
      <w:r/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jc w:val="both"/>
        <w:spacing w:after="150" w:line="240" w:lineRule="auto"/>
        <w:shd w:val="clear" w:color="auto" w:fill="ffffff"/>
        <w:rPr>
          <w:rFonts w:ascii="Helvetica" w:hAnsi="Helvetica" w:eastAsia="Times New Roman" w:cs="Helvetica"/>
          <w:b/>
          <w:bCs/>
          <w:color w:val="000000"/>
          <w:sz w:val="23"/>
          <w:szCs w:val="23"/>
          <w:lang w:eastAsia="ru-RU"/>
        </w:rPr>
      </w:pPr>
      <w:r>
        <w:rPr>
          <w:rFonts w:ascii="Helvetica" w:hAnsi="Helvetica" w:eastAsia="Times New Roman" w:cs="Helvetica"/>
          <w:b/>
          <w:bCs/>
          <w:color w:val="000000"/>
          <w:sz w:val="23"/>
          <w:szCs w:val="23"/>
          <w:lang w:eastAsia="ru-RU"/>
        </w:rPr>
      </w:r>
      <w:r>
        <w:rPr>
          <w:rFonts w:ascii="Helvetica" w:hAnsi="Helvetica" w:eastAsia="Times New Roman" w:cs="Helvetica"/>
          <w:b/>
          <w:bCs/>
          <w:color w:val="000000"/>
          <w:sz w:val="23"/>
          <w:szCs w:val="23"/>
          <w:lang w:eastAsia="ru-RU"/>
        </w:rPr>
      </w:r>
    </w:p>
    <w:sectPr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</w:font>
  <w:font w:name="Calibri">
    <w:panose1 w:val="020F0502020204030204"/>
  </w:font>
  <w:font w:name="Blackadder ITC">
    <w:panose1 w:val="02040502050405020303"/>
  </w:font>
  <w:font w:name="Tahoma">
    <w:panose1 w:val="020B0604030504040204"/>
  </w:font>
  <w:font w:name="Times New Roman">
    <w:panose1 w:val="02020603050405020304"/>
  </w:font>
  <w:font w:name="Liberation Sans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1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1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1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1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1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1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1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1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1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19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19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19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19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19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2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19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19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</w:style>
  <w:style w:type="character" w:styleId="619" w:default="1">
    <w:name w:val="Default Paragraph Font"/>
    <w:uiPriority w:val="1"/>
    <w:semiHidden/>
    <w:unhideWhenUsed/>
  </w:style>
  <w:style w:type="table" w:styleId="6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1" w:default="1">
    <w:name w:val="No List"/>
    <w:uiPriority w:val="99"/>
    <w:semiHidden/>
    <w:unhideWhenUsed/>
  </w:style>
  <w:style w:type="paragraph" w:styleId="622">
    <w:name w:val="Normal (Web)"/>
    <w:basedOn w:val="618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23">
    <w:name w:val="annotation reference"/>
    <w:basedOn w:val="619"/>
    <w:uiPriority w:val="99"/>
    <w:semiHidden/>
    <w:unhideWhenUsed/>
    <w:rPr>
      <w:sz w:val="16"/>
      <w:szCs w:val="16"/>
    </w:rPr>
  </w:style>
  <w:style w:type="paragraph" w:styleId="624">
    <w:name w:val="annotation text"/>
    <w:basedOn w:val="618"/>
    <w:link w:val="625"/>
    <w:uiPriority w:val="99"/>
    <w:semiHidden/>
    <w:unhideWhenUsed/>
    <w:pPr>
      <w:spacing w:after="160" w:line="240" w:lineRule="auto"/>
    </w:pPr>
    <w:rPr>
      <w:sz w:val="20"/>
      <w:szCs w:val="20"/>
    </w:rPr>
  </w:style>
  <w:style w:type="character" w:styleId="625" w:customStyle="1">
    <w:name w:val="Текст примечания Знак"/>
    <w:basedOn w:val="619"/>
    <w:link w:val="624"/>
    <w:uiPriority w:val="99"/>
    <w:semiHidden/>
    <w:rPr>
      <w:sz w:val="20"/>
      <w:szCs w:val="20"/>
    </w:rPr>
  </w:style>
  <w:style w:type="paragraph" w:styleId="626">
    <w:name w:val="Balloon Text"/>
    <w:basedOn w:val="618"/>
    <w:link w:val="62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27" w:customStyle="1">
    <w:name w:val="Текст выноски Знак"/>
    <w:basedOn w:val="619"/>
    <w:link w:val="626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consultantplus://offline/ref=9AC167B0D1257E1472BCAC09EF1E2C32D2E0C228F304E6012E5CAE1FFBE61CD1AACD40456FFF67B134AF47D9EC17C458AFE6ADF52F24F6FFG7t5M" TargetMode="External"/><Relationship Id="rId10" Type="http://schemas.openxmlformats.org/officeDocument/2006/relationships/hyperlink" Target="consultantplus://offline/ref=9AC167B0D1257E1472BCAC09EF1E2C32D2E0C228F304E6012E5CAE1FFBE61CD1AACD404C68FC60BF69F557DDA542C846AEFAB3F53124GFt4M" TargetMode="External"/><Relationship Id="rId11" Type="http://schemas.openxmlformats.org/officeDocument/2006/relationships/hyperlink" Target="consultantplus://offline/ref=9AC167B0D1257E1472BCAC09EF1E2C32D2E0C228F304E6012E5CAE1FFBE61CD1AACD40466FFE61BF69F557DDA542C846AEFAB3F53124GFt4M" TargetMode="External"/><Relationship Id="rId12" Type="http://schemas.openxmlformats.org/officeDocument/2006/relationships/hyperlink" Target="consultantplus://offline/ref=9AC167B0D1257E1472BCAC09EF1E2C32D2E0C228F304E6012E5CAE1FFBE61CD1AACD40436BF86BBF69F557DDA542C846AEFAB3F53124GFt4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B9A67-A290-441B-ACDF-ABACDDD55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Костарева Мария Андреевна</dc:creator>
  <cp:keywords/>
  <dc:description/>
  <cp:lastModifiedBy>martynov-va</cp:lastModifiedBy>
  <cp:revision>9</cp:revision>
  <dcterms:created xsi:type="dcterms:W3CDTF">2022-02-01T11:49:00Z</dcterms:created>
  <dcterms:modified xsi:type="dcterms:W3CDTF">2026-06-18T10:47:56Z</dcterms:modified>
</cp:coreProperties>
</file>